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BA" w:rsidRDefault="00306818">
      <w:pPr>
        <w:jc w:val="center"/>
        <w:rPr>
          <w:b/>
          <w:sz w:val="28"/>
        </w:rPr>
      </w:pPr>
      <w:bookmarkStart w:id="0" w:name="_GoBack"/>
      <w:bookmarkEnd w:id="0"/>
      <w:r>
        <w:rPr>
          <w:b/>
          <w:sz w:val="28"/>
        </w:rPr>
        <w:t>DRUG COURT OF NEW SOUTH WALES</w:t>
      </w:r>
    </w:p>
    <w:p w:rsidR="00DD5FBA" w:rsidRDefault="00DD5FBA">
      <w:pPr>
        <w:ind w:left="720" w:hanging="720"/>
        <w:jc w:val="center"/>
        <w:rPr>
          <w:b/>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6946"/>
      </w:tblGrid>
      <w:tr w:rsidR="00DD5FBA">
        <w:tc>
          <w:tcPr>
            <w:tcW w:w="2943" w:type="dxa"/>
            <w:tcBorders>
              <w:top w:val="single" w:sz="6" w:space="0" w:color="000000"/>
              <w:left w:val="single" w:sz="6" w:space="0" w:color="000000"/>
              <w:bottom w:val="single" w:sz="6" w:space="0" w:color="000000"/>
              <w:right w:val="single" w:sz="6" w:space="0" w:color="000000"/>
            </w:tcBorders>
          </w:tcPr>
          <w:p w:rsidR="00DD5FBA" w:rsidRDefault="00DD5FBA">
            <w:pPr>
              <w:ind w:left="720" w:hanging="720"/>
              <w:jc w:val="center"/>
              <w:rPr>
                <w:b/>
                <w:i/>
              </w:rPr>
            </w:pPr>
          </w:p>
          <w:p w:rsidR="00DD5FBA" w:rsidRDefault="00306818">
            <w:pPr>
              <w:ind w:left="720" w:hanging="720"/>
              <w:jc w:val="center"/>
              <w:rPr>
                <w:b/>
                <w:i/>
              </w:rPr>
            </w:pPr>
            <w:r>
              <w:rPr>
                <w:b/>
                <w:i/>
              </w:rPr>
              <w:t>Policy Title #11</w:t>
            </w:r>
          </w:p>
          <w:p w:rsidR="00DD5FBA" w:rsidRDefault="00DD5FBA">
            <w:pPr>
              <w:ind w:left="720" w:hanging="720"/>
              <w:jc w:val="center"/>
              <w:rPr>
                <w:b/>
                <w:i/>
              </w:rPr>
            </w:pPr>
          </w:p>
        </w:tc>
        <w:tc>
          <w:tcPr>
            <w:tcW w:w="6946" w:type="dxa"/>
            <w:tcBorders>
              <w:top w:val="single" w:sz="6" w:space="0" w:color="000000"/>
              <w:left w:val="single" w:sz="6" w:space="0" w:color="000000"/>
              <w:bottom w:val="single" w:sz="6" w:space="0" w:color="000000"/>
              <w:right w:val="single" w:sz="6" w:space="0" w:color="000000"/>
            </w:tcBorders>
          </w:tcPr>
          <w:p w:rsidR="00DD5FBA" w:rsidRDefault="00DD5FBA">
            <w:pPr>
              <w:ind w:left="720" w:hanging="720"/>
              <w:jc w:val="center"/>
              <w:rPr>
                <w:b/>
              </w:rPr>
            </w:pPr>
          </w:p>
          <w:p w:rsidR="00DD5FBA" w:rsidRDefault="00306818">
            <w:pPr>
              <w:ind w:left="720" w:hanging="720"/>
              <w:jc w:val="center"/>
            </w:pPr>
            <w:r>
              <w:rPr>
                <w:b/>
              </w:rPr>
              <w:t xml:space="preserve">Employment </w:t>
            </w:r>
          </w:p>
        </w:tc>
      </w:tr>
      <w:tr w:rsidR="00DD5FBA">
        <w:trPr>
          <w:trHeight w:val="744"/>
        </w:trPr>
        <w:tc>
          <w:tcPr>
            <w:tcW w:w="2943" w:type="dxa"/>
            <w:tcBorders>
              <w:top w:val="single" w:sz="6" w:space="0" w:color="000000"/>
              <w:left w:val="single" w:sz="6" w:space="0" w:color="000000"/>
              <w:bottom w:val="single" w:sz="6" w:space="0" w:color="000000"/>
              <w:right w:val="single" w:sz="6" w:space="0" w:color="000000"/>
            </w:tcBorders>
          </w:tcPr>
          <w:p w:rsidR="00DD5FBA" w:rsidRDefault="00DD5FBA">
            <w:pPr>
              <w:ind w:left="720" w:hanging="720"/>
              <w:jc w:val="center"/>
              <w:rPr>
                <w:b/>
                <w:i/>
              </w:rPr>
            </w:pPr>
          </w:p>
          <w:p w:rsidR="00DD5FBA" w:rsidRDefault="00306818">
            <w:pPr>
              <w:pStyle w:val="Heading3"/>
            </w:pPr>
            <w:r>
              <w:t>Last Reviewed</w:t>
            </w:r>
          </w:p>
        </w:tc>
        <w:tc>
          <w:tcPr>
            <w:tcW w:w="6946" w:type="dxa"/>
            <w:tcBorders>
              <w:top w:val="single" w:sz="6" w:space="0" w:color="000000"/>
              <w:left w:val="single" w:sz="6" w:space="0" w:color="000000"/>
              <w:bottom w:val="single" w:sz="6" w:space="0" w:color="000000"/>
              <w:right w:val="single" w:sz="6" w:space="0" w:color="000000"/>
            </w:tcBorders>
          </w:tcPr>
          <w:p w:rsidR="00DD5FBA" w:rsidRDefault="00DD5FBA">
            <w:pPr>
              <w:ind w:left="720" w:hanging="720"/>
              <w:jc w:val="center"/>
              <w:rPr>
                <w:b/>
                <w:i/>
              </w:rPr>
            </w:pPr>
          </w:p>
          <w:p w:rsidR="00DD5FBA" w:rsidRDefault="00306818">
            <w:pPr>
              <w:pStyle w:val="Heading3"/>
              <w:rPr>
                <w:i w:val="0"/>
              </w:rPr>
            </w:pPr>
            <w:r>
              <w:rPr>
                <w:i w:val="0"/>
              </w:rPr>
              <w:t>November 2017</w:t>
            </w:r>
          </w:p>
        </w:tc>
      </w:tr>
    </w:tbl>
    <w:p w:rsidR="00DD5FBA" w:rsidRDefault="00306818">
      <w:pPr>
        <w:pStyle w:val="Heading1"/>
        <w:rPr>
          <w:rFonts w:ascii="Times New Roman" w:hAnsi="Times New Roman"/>
          <w:sz w:val="24"/>
        </w:rPr>
      </w:pPr>
      <w:r>
        <w:rPr>
          <w:rFonts w:ascii="Times New Roman" w:hAnsi="Times New Roman"/>
          <w:sz w:val="24"/>
        </w:rPr>
        <w:t>1. PURPOSES OF POLICY</w:t>
      </w:r>
    </w:p>
    <w:p w:rsidR="00DD5FBA" w:rsidRDefault="00DD5FBA">
      <w:pPr>
        <w:ind w:left="720" w:hanging="720"/>
        <w:jc w:val="both"/>
      </w:pPr>
    </w:p>
    <w:p w:rsidR="00DD5FBA" w:rsidRDefault="00306818" w:rsidP="00306818">
      <w:pPr>
        <w:tabs>
          <w:tab w:val="left" w:pos="1080"/>
        </w:tabs>
        <w:ind w:left="660"/>
        <w:jc w:val="both"/>
        <w:rPr>
          <w:b/>
        </w:rPr>
      </w:pPr>
      <w:r>
        <w:t>To clarify the circumstances under which participants can enter paid employment.</w:t>
      </w:r>
    </w:p>
    <w:p w:rsidR="00DD5FBA" w:rsidRDefault="00DD5FBA">
      <w:pPr>
        <w:ind w:left="708" w:hanging="708"/>
        <w:jc w:val="both"/>
        <w:rPr>
          <w:b/>
        </w:rPr>
      </w:pPr>
    </w:p>
    <w:p w:rsidR="00DD5FBA" w:rsidRDefault="00306818">
      <w:pPr>
        <w:pStyle w:val="Heading1"/>
        <w:rPr>
          <w:rFonts w:ascii="Times New Roman" w:hAnsi="Times New Roman"/>
          <w:sz w:val="24"/>
        </w:rPr>
      </w:pPr>
      <w:r>
        <w:rPr>
          <w:rFonts w:ascii="Times New Roman" w:hAnsi="Times New Roman"/>
          <w:sz w:val="24"/>
        </w:rPr>
        <w:t>2. DEFINITIONS</w:t>
      </w:r>
    </w:p>
    <w:tbl>
      <w:tblPr>
        <w:tblW w:w="0" w:type="auto"/>
        <w:tblLayout w:type="fixed"/>
        <w:tblLook w:val="0000" w:firstRow="0" w:lastRow="0" w:firstColumn="0" w:lastColumn="0" w:noHBand="0" w:noVBand="0"/>
      </w:tblPr>
      <w:tblGrid>
        <w:gridCol w:w="2660"/>
        <w:gridCol w:w="7229"/>
      </w:tblGrid>
      <w:tr w:rsidR="00DD5FBA">
        <w:tc>
          <w:tcPr>
            <w:tcW w:w="2660" w:type="dxa"/>
            <w:tcBorders>
              <w:top w:val="nil"/>
              <w:left w:val="nil"/>
              <w:bottom w:val="nil"/>
              <w:right w:val="nil"/>
            </w:tcBorders>
          </w:tcPr>
          <w:p w:rsidR="00DD5FBA" w:rsidRDefault="00306818">
            <w:pPr>
              <w:ind w:left="720" w:hanging="720"/>
              <w:rPr>
                <w:b/>
              </w:rPr>
            </w:pPr>
            <w:r>
              <w:rPr>
                <w:b/>
                <w:i/>
              </w:rPr>
              <w:t>Act</w:t>
            </w:r>
            <w:r>
              <w:rPr>
                <w:b/>
              </w:rPr>
              <w:t xml:space="preserve"> </w:t>
            </w:r>
          </w:p>
        </w:tc>
        <w:tc>
          <w:tcPr>
            <w:tcW w:w="7229" w:type="dxa"/>
            <w:tcBorders>
              <w:top w:val="nil"/>
              <w:left w:val="nil"/>
              <w:bottom w:val="nil"/>
              <w:right w:val="nil"/>
            </w:tcBorders>
          </w:tcPr>
          <w:p w:rsidR="00DD5FBA" w:rsidRDefault="00306818">
            <w:pPr>
              <w:rPr>
                <w:b/>
                <w:i/>
              </w:rPr>
            </w:pPr>
            <w:r>
              <w:t>means the Drug Court Act 1998</w:t>
            </w:r>
          </w:p>
        </w:tc>
      </w:tr>
      <w:tr w:rsidR="00DD5FBA">
        <w:tc>
          <w:tcPr>
            <w:tcW w:w="2660" w:type="dxa"/>
            <w:tcBorders>
              <w:top w:val="nil"/>
              <w:left w:val="nil"/>
              <w:bottom w:val="nil"/>
              <w:right w:val="nil"/>
            </w:tcBorders>
          </w:tcPr>
          <w:p w:rsidR="00DD5FBA" w:rsidRDefault="00306818">
            <w:pPr>
              <w:ind w:left="720" w:hanging="720"/>
              <w:rPr>
                <w:b/>
              </w:rPr>
            </w:pPr>
            <w:r>
              <w:rPr>
                <w:b/>
                <w:i/>
              </w:rPr>
              <w:t>Case manager</w:t>
            </w:r>
            <w:r>
              <w:rPr>
                <w:b/>
              </w:rPr>
              <w:t xml:space="preserve"> </w:t>
            </w:r>
          </w:p>
        </w:tc>
        <w:tc>
          <w:tcPr>
            <w:tcW w:w="7229" w:type="dxa"/>
            <w:tcBorders>
              <w:top w:val="nil"/>
              <w:left w:val="nil"/>
              <w:bottom w:val="nil"/>
              <w:right w:val="nil"/>
            </w:tcBorders>
          </w:tcPr>
          <w:p w:rsidR="00DD5FBA" w:rsidRDefault="00306818" w:rsidP="00306818">
            <w:pPr>
              <w:rPr>
                <w:b/>
                <w:i/>
              </w:rPr>
            </w:pPr>
            <w:r>
              <w:t>means a Community Corrections officer assigned to a participant.</w:t>
            </w:r>
          </w:p>
        </w:tc>
      </w:tr>
      <w:tr w:rsidR="00DD5FBA">
        <w:tc>
          <w:tcPr>
            <w:tcW w:w="2660" w:type="dxa"/>
            <w:tcBorders>
              <w:top w:val="nil"/>
              <w:left w:val="nil"/>
              <w:bottom w:val="nil"/>
              <w:right w:val="nil"/>
            </w:tcBorders>
          </w:tcPr>
          <w:p w:rsidR="00DD5FBA" w:rsidRDefault="00306818">
            <w:pPr>
              <w:ind w:left="720" w:hanging="720"/>
              <w:rPr>
                <w:b/>
                <w:i/>
              </w:rPr>
            </w:pPr>
            <w:r>
              <w:rPr>
                <w:b/>
                <w:i/>
              </w:rPr>
              <w:t>Case management plan</w:t>
            </w:r>
          </w:p>
        </w:tc>
        <w:tc>
          <w:tcPr>
            <w:tcW w:w="7229" w:type="dxa"/>
            <w:tcBorders>
              <w:top w:val="nil"/>
              <w:left w:val="nil"/>
              <w:bottom w:val="nil"/>
              <w:right w:val="nil"/>
            </w:tcBorders>
          </w:tcPr>
          <w:p w:rsidR="00DD5FBA" w:rsidRDefault="00306818" w:rsidP="00306818">
            <w:r>
              <w:t>means a plan for supervision of a participant by the Community Corrections Office.</w:t>
            </w:r>
          </w:p>
        </w:tc>
      </w:tr>
      <w:tr w:rsidR="00DD5FBA">
        <w:tc>
          <w:tcPr>
            <w:tcW w:w="2660" w:type="dxa"/>
            <w:tcBorders>
              <w:top w:val="nil"/>
              <w:left w:val="nil"/>
              <w:bottom w:val="nil"/>
              <w:right w:val="nil"/>
            </w:tcBorders>
          </w:tcPr>
          <w:p w:rsidR="00DD5FBA" w:rsidRDefault="00306818">
            <w:pPr>
              <w:ind w:left="720" w:hanging="720"/>
              <w:rPr>
                <w:b/>
              </w:rPr>
            </w:pPr>
            <w:r>
              <w:rPr>
                <w:b/>
                <w:i/>
              </w:rPr>
              <w:t>Drug Court</w:t>
            </w:r>
            <w:r>
              <w:rPr>
                <w:b/>
              </w:rPr>
              <w:t xml:space="preserve"> </w:t>
            </w:r>
          </w:p>
        </w:tc>
        <w:tc>
          <w:tcPr>
            <w:tcW w:w="7229" w:type="dxa"/>
            <w:tcBorders>
              <w:top w:val="nil"/>
              <w:left w:val="nil"/>
              <w:bottom w:val="nil"/>
              <w:right w:val="nil"/>
            </w:tcBorders>
          </w:tcPr>
          <w:p w:rsidR="00DD5FBA" w:rsidRDefault="00306818">
            <w:pPr>
              <w:rPr>
                <w:b/>
                <w:i/>
              </w:rPr>
            </w:pPr>
            <w:r>
              <w:t>means the Drug Court of N.S.W.</w:t>
            </w:r>
            <w:r>
              <w:rPr>
                <w:b/>
                <w:i/>
              </w:rPr>
              <w:t xml:space="preserve"> </w:t>
            </w:r>
          </w:p>
        </w:tc>
      </w:tr>
      <w:tr w:rsidR="00DD5FBA">
        <w:tc>
          <w:tcPr>
            <w:tcW w:w="2660" w:type="dxa"/>
            <w:tcBorders>
              <w:top w:val="nil"/>
              <w:left w:val="nil"/>
              <w:bottom w:val="nil"/>
              <w:right w:val="nil"/>
            </w:tcBorders>
          </w:tcPr>
          <w:p w:rsidR="00DD5FBA" w:rsidRDefault="00306818">
            <w:pPr>
              <w:ind w:left="720" w:hanging="720"/>
              <w:rPr>
                <w:b/>
                <w:i/>
              </w:rPr>
            </w:pPr>
            <w:r>
              <w:rPr>
                <w:b/>
                <w:i/>
              </w:rPr>
              <w:t>Drug Court program</w:t>
            </w:r>
          </w:p>
        </w:tc>
        <w:tc>
          <w:tcPr>
            <w:tcW w:w="7229" w:type="dxa"/>
            <w:tcBorders>
              <w:top w:val="nil"/>
              <w:left w:val="nil"/>
              <w:bottom w:val="nil"/>
              <w:right w:val="nil"/>
            </w:tcBorders>
          </w:tcPr>
          <w:p w:rsidR="00DD5FBA" w:rsidRDefault="00306818">
            <w:pPr>
              <w:rPr>
                <w:b/>
                <w:i/>
              </w:rPr>
            </w:pPr>
            <w:r>
              <w:t>means the conditions accepted by the participant and imposed by the Court under section 7(3)(a) of the Act.</w:t>
            </w:r>
          </w:p>
        </w:tc>
      </w:tr>
      <w:tr w:rsidR="00DD5FBA">
        <w:tc>
          <w:tcPr>
            <w:tcW w:w="2660" w:type="dxa"/>
            <w:tcBorders>
              <w:top w:val="nil"/>
              <w:left w:val="nil"/>
              <w:bottom w:val="nil"/>
              <w:right w:val="nil"/>
            </w:tcBorders>
          </w:tcPr>
          <w:p w:rsidR="00DD5FBA" w:rsidRDefault="00306818">
            <w:pPr>
              <w:ind w:left="720" w:hanging="720"/>
              <w:rPr>
                <w:b/>
                <w:i/>
              </w:rPr>
            </w:pPr>
            <w:r>
              <w:rPr>
                <w:b/>
                <w:i/>
              </w:rPr>
              <w:t>Drug Court team</w:t>
            </w:r>
          </w:p>
        </w:tc>
        <w:tc>
          <w:tcPr>
            <w:tcW w:w="7229" w:type="dxa"/>
            <w:tcBorders>
              <w:top w:val="nil"/>
              <w:left w:val="nil"/>
              <w:bottom w:val="nil"/>
              <w:right w:val="nil"/>
            </w:tcBorders>
          </w:tcPr>
          <w:p w:rsidR="00DD5FBA" w:rsidRDefault="00306818" w:rsidP="00306818">
            <w:pPr>
              <w:rPr>
                <w:b/>
                <w:i/>
              </w:rPr>
            </w:pPr>
            <w:r>
              <w:t>means Drug Court judge, the Registrar, the Legal Aid NSW (LA) solicitor, the solicitor from the Office of the Director of Public Prosecutions (ODPP), the Police Prosecutor, the Community Corrections coordinator, the Clinical Nurse Consultant who are attached to the Drug Court, and/or the alternate for each.</w:t>
            </w:r>
          </w:p>
        </w:tc>
      </w:tr>
      <w:tr w:rsidR="00DD5FBA">
        <w:tc>
          <w:tcPr>
            <w:tcW w:w="2660" w:type="dxa"/>
            <w:tcBorders>
              <w:top w:val="nil"/>
              <w:left w:val="nil"/>
              <w:bottom w:val="nil"/>
              <w:right w:val="nil"/>
            </w:tcBorders>
          </w:tcPr>
          <w:p w:rsidR="00DD5FBA" w:rsidRDefault="00306818">
            <w:pPr>
              <w:ind w:left="720" w:hanging="720"/>
              <w:rPr>
                <w:b/>
              </w:rPr>
            </w:pPr>
            <w:r>
              <w:rPr>
                <w:b/>
                <w:i/>
              </w:rPr>
              <w:t>COS</w:t>
            </w:r>
            <w:r>
              <w:rPr>
                <w:b/>
              </w:rPr>
              <w:t xml:space="preserve"> </w:t>
            </w:r>
          </w:p>
        </w:tc>
        <w:tc>
          <w:tcPr>
            <w:tcW w:w="7229" w:type="dxa"/>
            <w:tcBorders>
              <w:top w:val="nil"/>
              <w:left w:val="nil"/>
              <w:bottom w:val="nil"/>
              <w:right w:val="nil"/>
            </w:tcBorders>
          </w:tcPr>
          <w:p w:rsidR="00DD5FBA" w:rsidRDefault="00306818">
            <w:pPr>
              <w:rPr>
                <w:b/>
                <w:i/>
              </w:rPr>
            </w:pPr>
            <w:r>
              <w:t>means the Community Offender Service.</w:t>
            </w:r>
            <w:r>
              <w:rPr>
                <w:b/>
                <w:i/>
              </w:rPr>
              <w:t xml:space="preserve"> </w:t>
            </w:r>
          </w:p>
        </w:tc>
      </w:tr>
      <w:tr w:rsidR="00DD5FBA">
        <w:tc>
          <w:tcPr>
            <w:tcW w:w="2660" w:type="dxa"/>
            <w:tcBorders>
              <w:top w:val="nil"/>
              <w:left w:val="nil"/>
              <w:bottom w:val="nil"/>
              <w:right w:val="nil"/>
            </w:tcBorders>
          </w:tcPr>
          <w:p w:rsidR="00DD5FBA" w:rsidRDefault="00306818">
            <w:pPr>
              <w:ind w:left="720" w:hanging="720"/>
              <w:rPr>
                <w:b/>
              </w:rPr>
            </w:pPr>
            <w:r>
              <w:rPr>
                <w:b/>
                <w:i/>
              </w:rPr>
              <w:t>Participant</w:t>
            </w:r>
            <w:r>
              <w:rPr>
                <w:b/>
              </w:rPr>
              <w:t xml:space="preserve"> </w:t>
            </w:r>
          </w:p>
        </w:tc>
        <w:tc>
          <w:tcPr>
            <w:tcW w:w="7229" w:type="dxa"/>
            <w:tcBorders>
              <w:top w:val="nil"/>
              <w:left w:val="nil"/>
              <w:bottom w:val="nil"/>
              <w:right w:val="nil"/>
            </w:tcBorders>
          </w:tcPr>
          <w:p w:rsidR="00DD5FBA" w:rsidRDefault="00306818">
            <w:pPr>
              <w:rPr>
                <w:b/>
                <w:i/>
              </w:rPr>
            </w:pPr>
            <w:r>
              <w:t>means a “drug offender” as defined in the Drug Court Act 1998.</w:t>
            </w:r>
          </w:p>
        </w:tc>
      </w:tr>
      <w:tr w:rsidR="00DD5FBA">
        <w:tc>
          <w:tcPr>
            <w:tcW w:w="2660" w:type="dxa"/>
            <w:tcBorders>
              <w:top w:val="nil"/>
              <w:left w:val="nil"/>
              <w:bottom w:val="nil"/>
              <w:right w:val="nil"/>
            </w:tcBorders>
          </w:tcPr>
          <w:p w:rsidR="00DD5FBA" w:rsidRDefault="00306818">
            <w:pPr>
              <w:ind w:left="720" w:hanging="720"/>
              <w:rPr>
                <w:b/>
              </w:rPr>
            </w:pPr>
            <w:r>
              <w:rPr>
                <w:b/>
                <w:i/>
              </w:rPr>
              <w:t>Treatment plan</w:t>
            </w:r>
          </w:p>
        </w:tc>
        <w:tc>
          <w:tcPr>
            <w:tcW w:w="7229" w:type="dxa"/>
            <w:tcBorders>
              <w:top w:val="nil"/>
              <w:left w:val="nil"/>
              <w:bottom w:val="nil"/>
              <w:right w:val="nil"/>
            </w:tcBorders>
          </w:tcPr>
          <w:p w:rsidR="00DD5FBA" w:rsidRDefault="00306818">
            <w:pPr>
              <w:rPr>
                <w:b/>
                <w:i/>
              </w:rPr>
            </w:pPr>
            <w:r>
              <w:t>means a plan for therapeutic intervention to address an participant’s drug dependency and related health needs.</w:t>
            </w:r>
          </w:p>
        </w:tc>
      </w:tr>
      <w:tr w:rsidR="00DD5FBA">
        <w:tc>
          <w:tcPr>
            <w:tcW w:w="2660" w:type="dxa"/>
            <w:tcBorders>
              <w:top w:val="nil"/>
              <w:left w:val="nil"/>
              <w:bottom w:val="nil"/>
              <w:right w:val="nil"/>
            </w:tcBorders>
          </w:tcPr>
          <w:p w:rsidR="00DD5FBA" w:rsidRDefault="00306818">
            <w:pPr>
              <w:ind w:left="720" w:hanging="720"/>
              <w:rPr>
                <w:b/>
              </w:rPr>
            </w:pPr>
            <w:r>
              <w:rPr>
                <w:b/>
                <w:i/>
              </w:rPr>
              <w:t>Treatment provider</w:t>
            </w:r>
            <w:r>
              <w:rPr>
                <w:b/>
              </w:rPr>
              <w:t xml:space="preserve"> </w:t>
            </w:r>
          </w:p>
        </w:tc>
        <w:tc>
          <w:tcPr>
            <w:tcW w:w="7229" w:type="dxa"/>
            <w:tcBorders>
              <w:top w:val="nil"/>
              <w:left w:val="nil"/>
              <w:bottom w:val="nil"/>
              <w:right w:val="nil"/>
            </w:tcBorders>
          </w:tcPr>
          <w:p w:rsidR="00DD5FBA" w:rsidRDefault="00306818">
            <w:r>
              <w:t>means a participant’s principal ongoing treatment provider.</w:t>
            </w:r>
          </w:p>
        </w:tc>
      </w:tr>
    </w:tbl>
    <w:p w:rsidR="00DD5FBA" w:rsidRDefault="00306818">
      <w:pPr>
        <w:pStyle w:val="Heading1"/>
        <w:rPr>
          <w:rFonts w:ascii="Times New Roman" w:hAnsi="Times New Roman"/>
          <w:sz w:val="24"/>
        </w:rPr>
      </w:pPr>
      <w:r>
        <w:rPr>
          <w:rFonts w:ascii="Times New Roman" w:hAnsi="Times New Roman"/>
          <w:sz w:val="24"/>
        </w:rPr>
        <w:t>3. POLICY</w:t>
      </w:r>
    </w:p>
    <w:p w:rsidR="00DD5FBA" w:rsidRDefault="00306818">
      <w:pPr>
        <w:pStyle w:val="BodyText2"/>
      </w:pPr>
      <w:r>
        <w:t xml:space="preserve">3.1      As part of its role in facilitating the reintegration of offenders into the community, the Court encourages the participant to make every effort to achieve financial, social and domestic stability. </w:t>
      </w:r>
      <w:r>
        <w:rPr>
          <w:i/>
        </w:rPr>
        <w:t>[see Policy #7 “Programs Goals and Measures”].</w:t>
      </w:r>
      <w:r>
        <w:t xml:space="preserve"> The Court encourages participants to gain qualifications that may lead to worthwhile employment</w:t>
      </w:r>
      <w:r>
        <w:rPr>
          <w:i/>
        </w:rPr>
        <w:t xml:space="preserve">, </w:t>
      </w:r>
      <w:r>
        <w:t>or, if fully engaged in child care, to increase their parenting, living and social skills. When ready, participants will be encouraged to move into paid employment, particularly if the employment is likely to lead to long-term employment.</w:t>
      </w:r>
    </w:p>
    <w:p w:rsidR="00DD5FBA" w:rsidRDefault="00DD5FBA">
      <w:pPr>
        <w:ind w:left="283" w:hanging="283"/>
      </w:pPr>
    </w:p>
    <w:p w:rsidR="00DD5FBA" w:rsidRDefault="00306818">
      <w:pPr>
        <w:pStyle w:val="BodyText2"/>
        <w:ind w:left="1446"/>
      </w:pPr>
      <w:r>
        <w:t xml:space="preserve"> 3.2   The Court will seek to protect the public from harm while participants are on   conditional liberty from prison.  The Court is aware that there could be a legitimate concern that some Drug Court participants pose an unacceptable risk in employment.  Whilst all potential employers have the opportunity to make diligent inquiries into the antecedents of applicants for employment, it may not be reasonable to expect that all employers, (for example small businesses) have the resources to do so. Accordingly the Court has a role in supervising employment arrangements.</w:t>
      </w:r>
    </w:p>
    <w:p w:rsidR="00DD5FBA" w:rsidRDefault="00DD5FBA">
      <w:pPr>
        <w:ind w:left="283" w:hanging="283"/>
      </w:pPr>
    </w:p>
    <w:p w:rsidR="00DD5FBA" w:rsidRDefault="00306818">
      <w:pPr>
        <w:pStyle w:val="BodyText2"/>
      </w:pPr>
      <w:r>
        <w:lastRenderedPageBreak/>
        <w:t>3.3    The Court also understands that many people in the community have prejudices against people who are addicted to illicit drugs or who have a history of criminal offending, so the Court will work to ensure that prejudice of this nature does not jeopardise the rehabilitation of participants.</w:t>
      </w:r>
    </w:p>
    <w:p w:rsidR="00DD5FBA" w:rsidRDefault="00DD5FBA">
      <w:pPr>
        <w:ind w:left="283" w:hanging="283"/>
      </w:pPr>
    </w:p>
    <w:p w:rsidR="00DD5FBA" w:rsidRDefault="00306818">
      <w:pPr>
        <w:numPr>
          <w:ilvl w:val="1"/>
          <w:numId w:val="2"/>
        </w:numPr>
        <w:tabs>
          <w:tab w:val="left" w:pos="1380"/>
        </w:tabs>
        <w:ind w:left="1380"/>
        <w:jc w:val="both"/>
      </w:pPr>
      <w:r>
        <w:t>It is part of the role of the Community Corrections office to supervise participants –</w:t>
      </w:r>
    </w:p>
    <w:p w:rsidR="00DD5FBA" w:rsidRDefault="00306818">
      <w:pPr>
        <w:numPr>
          <w:ilvl w:val="0"/>
          <w:numId w:val="3"/>
        </w:numPr>
        <w:tabs>
          <w:tab w:val="left" w:pos="2880"/>
        </w:tabs>
        <w:jc w:val="both"/>
      </w:pPr>
      <w:r>
        <w:t>to ensure containment and compliance within the treatment plan</w:t>
      </w:r>
    </w:p>
    <w:p w:rsidR="00DD5FBA" w:rsidRDefault="00306818">
      <w:pPr>
        <w:numPr>
          <w:ilvl w:val="0"/>
          <w:numId w:val="3"/>
        </w:numPr>
        <w:tabs>
          <w:tab w:val="left" w:pos="2880"/>
        </w:tabs>
        <w:jc w:val="both"/>
      </w:pPr>
      <w:r>
        <w:t>to promote reintegration into the community</w:t>
      </w:r>
    </w:p>
    <w:p w:rsidR="00DD5FBA" w:rsidRDefault="00DD5FBA">
      <w:pPr>
        <w:numPr>
          <w:ilvl w:val="12"/>
          <w:numId w:val="0"/>
        </w:numPr>
        <w:ind w:left="2160" w:hanging="720"/>
        <w:jc w:val="both"/>
      </w:pPr>
    </w:p>
    <w:p w:rsidR="00DD5FBA" w:rsidRDefault="00306818">
      <w:pPr>
        <w:pStyle w:val="BodyText2"/>
        <w:numPr>
          <w:ilvl w:val="12"/>
          <w:numId w:val="0"/>
        </w:numPr>
        <w:ind w:left="1440" w:hanging="720"/>
      </w:pPr>
      <w:r>
        <w:t xml:space="preserve">            Therefore it is a condition of the program, and included in the undertaking, that Drug Court participants will inform their Community Corrections officer before any paid employment is undertaken. </w:t>
      </w:r>
    </w:p>
    <w:p w:rsidR="00DD5FBA" w:rsidRDefault="00DD5FBA">
      <w:pPr>
        <w:numPr>
          <w:ilvl w:val="12"/>
          <w:numId w:val="0"/>
        </w:numPr>
        <w:ind w:left="1440" w:hanging="720"/>
        <w:jc w:val="both"/>
      </w:pPr>
    </w:p>
    <w:p w:rsidR="00DD5FBA" w:rsidRDefault="00306818">
      <w:pPr>
        <w:pStyle w:val="BodyText2"/>
        <w:numPr>
          <w:ilvl w:val="1"/>
          <w:numId w:val="2"/>
        </w:numPr>
        <w:tabs>
          <w:tab w:val="left" w:pos="1380"/>
        </w:tabs>
        <w:ind w:left="1380"/>
      </w:pPr>
      <w:r>
        <w:t>The Community Corrections office will then supervise that employment as it would for other offenders who are on conditional release from prison, (eg ICO or parole).  The extent to which this supervision will involve liaison with an employer will depend on the judgment of that service in the individual case, and in accordance with the Community Corrections policy.</w:t>
      </w:r>
    </w:p>
    <w:p w:rsidR="00DD5FBA" w:rsidRDefault="00DD5FBA">
      <w:pPr>
        <w:jc w:val="both"/>
      </w:pPr>
    </w:p>
    <w:p w:rsidR="00DD5FBA" w:rsidRDefault="00306818">
      <w:pPr>
        <w:jc w:val="center"/>
      </w:pPr>
      <w:r>
        <w:t>__________________________</w:t>
      </w:r>
    </w:p>
    <w:p w:rsidR="00DD5FBA" w:rsidRDefault="00DD5FBA">
      <w:pPr>
        <w:ind w:left="283" w:hanging="283"/>
      </w:pPr>
    </w:p>
    <w:sectPr w:rsidR="00DD5FBA">
      <w:footerReference w:type="default" r:id="rId11"/>
      <w:pgSz w:w="11909" w:h="16834" w:code="9"/>
      <w:pgMar w:top="1440" w:right="1199" w:bottom="1440" w:left="9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BA" w:rsidRDefault="00306818">
      <w:r>
        <w:separator/>
      </w:r>
    </w:p>
  </w:endnote>
  <w:endnote w:type="continuationSeparator" w:id="0">
    <w:p w:rsidR="00DD5FBA" w:rsidRDefault="0030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BA" w:rsidRDefault="0030681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69D">
      <w:rPr>
        <w:rStyle w:val="PageNumber"/>
        <w:noProof/>
      </w:rPr>
      <w:t>1</w:t>
    </w:r>
    <w:r>
      <w:rPr>
        <w:rStyle w:val="PageNumber"/>
      </w:rPr>
      <w:fldChar w:fldCharType="end"/>
    </w:r>
  </w:p>
  <w:p w:rsidR="00DD5FBA" w:rsidRDefault="00DD5F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BA" w:rsidRDefault="00306818">
      <w:r>
        <w:separator/>
      </w:r>
    </w:p>
  </w:footnote>
  <w:footnote w:type="continuationSeparator" w:id="0">
    <w:p w:rsidR="00DD5FBA" w:rsidRDefault="00306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FAFD9A"/>
    <w:lvl w:ilvl="0">
      <w:numFmt w:val="decimal"/>
      <w:lvlText w:val="*"/>
      <w:lvlJc w:val="left"/>
    </w:lvl>
  </w:abstractNum>
  <w:abstractNum w:abstractNumId="1">
    <w:nsid w:val="1177259A"/>
    <w:multiLevelType w:val="multilevel"/>
    <w:tmpl w:val="6D76AB9C"/>
    <w:lvl w:ilvl="0">
      <w:start w:val="3"/>
      <w:numFmt w:val="decimal"/>
      <w:lvlText w:val="%1"/>
      <w:legacy w:legacy="1" w:legacySpace="120" w:legacyIndent="660"/>
      <w:lvlJc w:val="left"/>
      <w:pPr>
        <w:ind w:left="660" w:hanging="660"/>
      </w:pPr>
    </w:lvl>
    <w:lvl w:ilvl="1">
      <w:start w:val="4"/>
      <w:numFmt w:val="decimal"/>
      <w:lvlText w:val="%1.%2"/>
      <w:legacy w:legacy="1" w:legacySpace="120" w:legacyIndent="660"/>
      <w:lvlJc w:val="left"/>
      <w:pPr>
        <w:ind w:left="1320" w:hanging="660"/>
      </w:pPr>
    </w:lvl>
    <w:lvl w:ilvl="2">
      <w:start w:val="1"/>
      <w:numFmt w:val="decimal"/>
      <w:lvlText w:val="%1.%2.%3"/>
      <w:legacy w:legacy="1" w:legacySpace="120" w:legacyIndent="720"/>
      <w:lvlJc w:val="left"/>
      <w:pPr>
        <w:ind w:left="2040" w:hanging="720"/>
      </w:pPr>
    </w:lvl>
    <w:lvl w:ilvl="3">
      <w:start w:val="1"/>
      <w:numFmt w:val="decimal"/>
      <w:lvlText w:val="%1.%2.%3.%4"/>
      <w:legacy w:legacy="1" w:legacySpace="120" w:legacyIndent="720"/>
      <w:lvlJc w:val="left"/>
      <w:pPr>
        <w:ind w:left="2760" w:hanging="720"/>
      </w:pPr>
    </w:lvl>
    <w:lvl w:ilvl="4">
      <w:start w:val="1"/>
      <w:numFmt w:val="decimal"/>
      <w:lvlText w:val="%1.%2.%3.%4.%5"/>
      <w:legacy w:legacy="1" w:legacySpace="120" w:legacyIndent="1080"/>
      <w:lvlJc w:val="left"/>
      <w:pPr>
        <w:ind w:left="3840" w:hanging="1080"/>
      </w:pPr>
    </w:lvl>
    <w:lvl w:ilvl="5">
      <w:start w:val="1"/>
      <w:numFmt w:val="decimal"/>
      <w:lvlText w:val="%1.%2.%3.%4.%5.%6"/>
      <w:legacy w:legacy="1" w:legacySpace="120" w:legacyIndent="1080"/>
      <w:lvlJc w:val="left"/>
      <w:pPr>
        <w:ind w:left="4920" w:hanging="1080"/>
      </w:pPr>
    </w:lvl>
    <w:lvl w:ilvl="6">
      <w:start w:val="1"/>
      <w:numFmt w:val="decimal"/>
      <w:lvlText w:val="%1.%2.%3.%4.%5.%6.%7"/>
      <w:legacy w:legacy="1" w:legacySpace="120" w:legacyIndent="1440"/>
      <w:lvlJc w:val="left"/>
      <w:pPr>
        <w:ind w:left="6360" w:hanging="1440"/>
      </w:pPr>
    </w:lvl>
    <w:lvl w:ilvl="7">
      <w:start w:val="1"/>
      <w:numFmt w:val="decimal"/>
      <w:lvlText w:val="%1.%2.%3.%4.%5.%6.%7.%8"/>
      <w:legacy w:legacy="1" w:legacySpace="120" w:legacyIndent="1440"/>
      <w:lvlJc w:val="left"/>
      <w:pPr>
        <w:ind w:left="7800" w:hanging="1440"/>
      </w:pPr>
    </w:lvl>
    <w:lvl w:ilvl="8">
      <w:start w:val="1"/>
      <w:numFmt w:val="decimal"/>
      <w:lvlText w:val="%1.%2.%3.%4.%5.%6.%7.%8.%9"/>
      <w:legacy w:legacy="1" w:legacySpace="120" w:legacyIndent="1800"/>
      <w:lvlJc w:val="left"/>
      <w:pPr>
        <w:ind w:left="9600" w:hanging="1800"/>
      </w:pPr>
    </w:lvl>
  </w:abstractNum>
  <w:abstractNum w:abstractNumId="2">
    <w:nsid w:val="79515DD3"/>
    <w:multiLevelType w:val="multilevel"/>
    <w:tmpl w:val="6D76AB9C"/>
    <w:lvl w:ilvl="0">
      <w:start w:val="3"/>
      <w:numFmt w:val="decimal"/>
      <w:lvlText w:val="%1"/>
      <w:legacy w:legacy="1" w:legacySpace="120" w:legacyIndent="660"/>
      <w:lvlJc w:val="left"/>
      <w:pPr>
        <w:ind w:left="660" w:hanging="660"/>
      </w:pPr>
    </w:lvl>
    <w:lvl w:ilvl="1">
      <w:start w:val="4"/>
      <w:numFmt w:val="decimal"/>
      <w:lvlText w:val="%1.%2"/>
      <w:legacy w:legacy="1" w:legacySpace="120" w:legacyIndent="660"/>
      <w:lvlJc w:val="left"/>
      <w:pPr>
        <w:ind w:left="1320" w:hanging="660"/>
      </w:pPr>
    </w:lvl>
    <w:lvl w:ilvl="2">
      <w:start w:val="1"/>
      <w:numFmt w:val="decimal"/>
      <w:lvlText w:val="%1.%2.%3"/>
      <w:legacy w:legacy="1" w:legacySpace="120" w:legacyIndent="720"/>
      <w:lvlJc w:val="left"/>
      <w:pPr>
        <w:ind w:left="2040" w:hanging="720"/>
      </w:pPr>
    </w:lvl>
    <w:lvl w:ilvl="3">
      <w:start w:val="1"/>
      <w:numFmt w:val="decimal"/>
      <w:lvlText w:val="%1.%2.%3.%4"/>
      <w:legacy w:legacy="1" w:legacySpace="120" w:legacyIndent="720"/>
      <w:lvlJc w:val="left"/>
      <w:pPr>
        <w:ind w:left="2760" w:hanging="720"/>
      </w:pPr>
    </w:lvl>
    <w:lvl w:ilvl="4">
      <w:start w:val="1"/>
      <w:numFmt w:val="decimal"/>
      <w:lvlText w:val="%1.%2.%3.%4.%5"/>
      <w:legacy w:legacy="1" w:legacySpace="120" w:legacyIndent="1080"/>
      <w:lvlJc w:val="left"/>
      <w:pPr>
        <w:ind w:left="3840" w:hanging="1080"/>
      </w:pPr>
    </w:lvl>
    <w:lvl w:ilvl="5">
      <w:start w:val="1"/>
      <w:numFmt w:val="decimal"/>
      <w:lvlText w:val="%1.%2.%3.%4.%5.%6"/>
      <w:legacy w:legacy="1" w:legacySpace="120" w:legacyIndent="1080"/>
      <w:lvlJc w:val="left"/>
      <w:pPr>
        <w:ind w:left="4920" w:hanging="1080"/>
      </w:pPr>
    </w:lvl>
    <w:lvl w:ilvl="6">
      <w:start w:val="1"/>
      <w:numFmt w:val="decimal"/>
      <w:lvlText w:val="%1.%2.%3.%4.%5.%6.%7"/>
      <w:legacy w:legacy="1" w:legacySpace="120" w:legacyIndent="1440"/>
      <w:lvlJc w:val="left"/>
      <w:pPr>
        <w:ind w:left="6360" w:hanging="1440"/>
      </w:pPr>
    </w:lvl>
    <w:lvl w:ilvl="7">
      <w:start w:val="1"/>
      <w:numFmt w:val="decimal"/>
      <w:lvlText w:val="%1.%2.%3.%4.%5.%6.%7.%8"/>
      <w:legacy w:legacy="1" w:legacySpace="120" w:legacyIndent="1440"/>
      <w:lvlJc w:val="left"/>
      <w:pPr>
        <w:ind w:left="7800" w:hanging="1440"/>
      </w:pPr>
    </w:lvl>
    <w:lvl w:ilvl="8">
      <w:start w:val="1"/>
      <w:numFmt w:val="decimal"/>
      <w:lvlText w:val="%1.%2.%3.%4.%5.%6.%7.%8.%9"/>
      <w:legacy w:legacy="1" w:legacySpace="120" w:legacyIndent="1800"/>
      <w:lvlJc w:val="left"/>
      <w:pPr>
        <w:ind w:left="9600" w:hanging="1800"/>
      </w:p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28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18"/>
    <w:rsid w:val="001600D1"/>
    <w:rsid w:val="00306818"/>
    <w:rsid w:val="0054569D"/>
    <w:rsid w:val="008B4EC4"/>
    <w:rsid w:val="00DD5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hanging="720"/>
      <w:jc w:val="center"/>
      <w:outlineLvl w:val="1"/>
    </w:pPr>
    <w:rPr>
      <w:b/>
    </w:rPr>
  </w:style>
  <w:style w:type="paragraph" w:styleId="Heading3">
    <w:name w:val="heading 3"/>
    <w:basedOn w:val="Normal"/>
    <w:next w:val="Normal"/>
    <w:qFormat/>
    <w:pPr>
      <w:keepNext/>
      <w:ind w:left="720" w:hanging="72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2">
    <w:name w:val="Body Text 2"/>
    <w:basedOn w:val="Normal"/>
    <w:semiHidden/>
    <w:pPr>
      <w:ind w:left="1440"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hanging="720"/>
      <w:jc w:val="center"/>
      <w:outlineLvl w:val="1"/>
    </w:pPr>
    <w:rPr>
      <w:b/>
    </w:rPr>
  </w:style>
  <w:style w:type="paragraph" w:styleId="Heading3">
    <w:name w:val="heading 3"/>
    <w:basedOn w:val="Normal"/>
    <w:next w:val="Normal"/>
    <w:qFormat/>
    <w:pPr>
      <w:keepNext/>
      <w:ind w:left="720" w:hanging="720"/>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2">
    <w:name w:val="Body Text 2"/>
    <w:basedOn w:val="Normal"/>
    <w:semiHidden/>
    <w:pPr>
      <w:ind w:left="144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1F9FA-66B6-48B3-B799-A381E9B650D9}">
  <ds:schemaRefs>
    <ds:schemaRef ds:uri="653557a5-4810-42c8-bbed-32755ff901a0"/>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4348B8-DA76-4C68-A7F4-DF33904BB750}">
  <ds:schemaRefs>
    <ds:schemaRef ds:uri="http://schemas.microsoft.com/sharepoint/v3/contenttype/forms"/>
  </ds:schemaRefs>
</ds:datastoreItem>
</file>

<file path=customXml/itemProps3.xml><?xml version="1.0" encoding="utf-8"?>
<ds:datastoreItem xmlns:ds="http://schemas.openxmlformats.org/officeDocument/2006/customXml" ds:itemID="{DE05C30F-8F50-49C0-8846-15EEDA04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6813F4A8.dotm</Template>
  <TotalTime>1</TotalTime>
  <Pages>2</Pages>
  <Words>536</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DRUG COURT OF NEW SOUTH WALES</vt:lpstr>
    </vt:vector>
  </TitlesOfParts>
  <Company>AGD</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OF NEW SOUTH WALES</dc:title>
  <dc:creator>Magistrate</dc:creator>
  <cp:lastModifiedBy>Jan Dutton</cp:lastModifiedBy>
  <cp:revision>2</cp:revision>
  <cp:lastPrinted>2017-10-30T21:57:00Z</cp:lastPrinted>
  <dcterms:created xsi:type="dcterms:W3CDTF">2020-05-04T22:33:00Z</dcterms:created>
  <dcterms:modified xsi:type="dcterms:W3CDTF">2020-05-04T22:33:00Z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